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tabs>
          <w:tab w:val="left" w:pos="156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-156845</wp:posOffset>
                </wp:positionV>
                <wp:extent cx="685800" cy="828040"/>
                <wp:effectExtent l="0" t="0" r="0" b="0"/>
                <wp:wrapTight wrapText="bothSides">
                  <wp:wrapPolygon edited="1">
                    <wp:start x="0" y="0"/>
                    <wp:lineTo x="0" y="20871"/>
                    <wp:lineTo x="21000" y="20871"/>
                    <wp:lineTo x="21000" y="0"/>
                    <wp:lineTo x="0" y="0"/>
                  </wp:wrapPolygon>
                </wp:wrapTight>
                <wp:docPr id="1" name="Рисунок 1" descr="Герб%20Нефтеюганск%20small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Герб%20Нефтеюганск%20small1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85800" cy="8280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264;o:allowoverlap:true;o:allowincell:true;mso-position-horizontal-relative:text;margin-left:213.00pt;mso-position-horizontal:absolute;mso-position-vertical-relative:text;margin-top:-12.35pt;mso-position-vertical:absolute;width:54.00pt;height:65.20pt;mso-wrap-distance-left:9.00pt;mso-wrap-distance-top:0.00pt;mso-wrap-distance-right:9.00pt;mso-wrap-distance-bottom:0.00pt;" wrapcoords="0 0 0 96625 97222 96625 97222 0 0 0" stroked="false">
                <v:path textboxrect="0,0,0,0"/>
                <w10:wrap type="tight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 xml:space="preserve">                                       Проект 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ab/>
        <w:t xml:space="preserve"> 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ДУМА ГОРОДА НЕФТЕЮГАНСКА</w:t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r>
    </w:p>
    <w:p>
      <w:pPr>
        <w:jc w:val="right"/>
        <w:keepNext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Р Е Ш Е Н И Е</w:t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на 2025 год и плановый период 2026 и 2027 годов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е, утверждённым решением Думы города Нефтеюганска от 25.09.2013 №633-V, руководствуясь Уставом города Нефтеюганска, Дума города решила: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1.Внести в решение Думы города Нефтеюганска от 23.12.2024 № 700-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en-US" w:eastAsia="ru-RU"/>
        </w:rPr>
        <w:t xml:space="preserve">VII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         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  «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О бюджете города Нефтеюганска на 2025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год и плановый период 2026 и                    2027 годов» (в редакции от 25.06.2025 №800-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en-US" w:eastAsia="ru-RU"/>
        </w:rPr>
        <w:t xml:space="preserve">VII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) следующие изменения: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1.1. Пункт 1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«1.Утвердить основные характеристики бюджета города Нефтеюганска (далее – бюджет города) на 20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25 год: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1)общий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объём доходов бюджета города в сумме 14 638 672 382 рубля                11 копеек;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2)общий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объём расходов бюджета города в сумме 16 816 929 321 рубль               11 копеек;            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yellow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3)дефицит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бюджета города в сумме 2 178 256 939 рублей;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yellow"/>
        </w:rPr>
      </w:r>
      <w:r>
        <w:rPr>
          <w:rFonts w:ascii="Times New Roman" w:hAnsi="Times New Roman" w:eastAsia="Times New Roman" w:cs="Times New Roman"/>
          <w:sz w:val="28"/>
          <w:szCs w:val="28"/>
          <w:highlight w:val="yellow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4)верхний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предел муниципального внутреннего долга города на 1 января 2026 года в объёме 0 рублей, в том числе верхний предел долга по муниципальным гарантиям 0 рублей;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b05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5)объем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расходов на обслуживание муниципального внутреннего долга 0 рублей.».</w:t>
      </w:r>
      <w:r>
        <w:rPr>
          <w:rFonts w:ascii="Times New Roman" w:hAnsi="Times New Roman" w:eastAsia="Times New Roman" w:cs="Times New Roman"/>
          <w:color w:val="00b05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b05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1.2. Пункт 2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«2. Утвердить основные характеристики бюджета города на плановый период 2026 и 2027 годов: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1)общий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объём доходов бюджета города на 202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6 год в сумме                         12 521 513 000 рублей и на 2027 год 12 477 340 000 рублей;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2)общий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объём расходов бюджета города на 2026 год в сумме                              13 242 274 479 рублей и на 2027 год 13 012 774 578 рублей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, 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том числе 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словно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утвержденные расходы на 2026 год в сумме 180 000 000 рублей и на 2027 год          в сумме 340 000 000 рублей;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3)дефицит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бюджета города на 2026 год в сумме 720 761 479 рублей, на       2027 год 535 434 578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4)верхний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предел муниципального внут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реннего долга на 1 января 2027 года 0 рублей, на 1 января 2028 года 110 519 883 рубля, в том числе верхний предел долга по муниципальным гарантиям города на 2026 год в объёме 0 рублей, на 2027 год 0 рублей;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5)объем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расходов на обслуживание муниципального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внутреннего долга на 2026 год 0 рублей, на 2027 год 20 000 000 рублей.».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1.3.Пункт 9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«9.Утвердить общий объем бюджетных ассигнований на исполнение публичных нормативных обязательств: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1)на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2025 год в сумме 93 657 473 рубля;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2)на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2026 год в сумме 28 261 400 рублей;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3)на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2027 год в сумме 28 261 400 рублей.».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1.4.Пункт 10 изложить в новой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«10. Утвердить в бюджете общий объём межбюджетных трансфертов, получаемых из других бюджетов: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1)на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2025 год 8 748 872 781 рубль 11 к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опеек;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2)на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2026 год 6 507 323 000 рублей;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3)на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2027 год 6 278 112 300 рублей.».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1.5. Пункт 11 изложить в новой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«11. По резервному фонду предусмотрены расходы в соответствии со     статьей 81 Бюджетного кодекса Российской Федерации: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6024" w:leader="none"/>
        </w:tabs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1)на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2025 го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д в сумме 99 512 970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2)на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2026 год в сумме 20 000 000 рублей;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3)на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2027 год в сумме 5 000 000 рублей.».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1.6.Пункт 12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2025 год в сумме 128 903 268 рублей, на 2026 год 173 571 735 рублей, на 2027 год     169 520 735 рублей на: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обеспечение доли муниципальног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 образования в соответствии с условиями государственных программ Ханты-Мансийского автономного округа-Югры в целях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софинансирования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мероприятий государственных программ Ханты-Мансийского автономного округа-Югры при предоставлении из бюджетов бюджетной сис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темы Российской Федерации объёма субсидий сверх утверждённого решением Думы города о бюджете города на 2025 год в сумме 43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114 669 рублей, на 2026 год 20 000 000 рублей, на 2027 год 0 рублей;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администрацией города принято решение об их поддержке, на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2025 год в сумме 545 265 рублей, на 2026 год 12 000 000 рублей, на 2027 год 12 000 000 рублей;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обеспечение расходных обязательств, возникающих после ввода в эксплуатацию новых объектов муниципальной собственности в 2025 году в сумме 85 243 334 рубля, в 202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6 году в сумме 141 571 735 рублей, в 2027 году 157 520 735 рублей.».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1.7. Пункт 13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«13.Утвердить объем бюджетных ассигнований дорожного фонда муниципального образования город Нефтеюганск: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1)на</w:t>
      </w:r>
      <w:r>
        <w:rPr>
          <w:rFonts w:ascii="Times New Roman" w:hAnsi="Times New Roman" w:cs="Times New Roman"/>
          <w:sz w:val="28"/>
          <w:szCs w:val="28"/>
        </w:rPr>
        <w:t xml:space="preserve"> 2025 год в сумме 893 970 229 руб</w:t>
      </w:r>
      <w:r>
        <w:rPr>
          <w:rFonts w:ascii="Times New Roman" w:hAnsi="Times New Roman" w:cs="Times New Roman"/>
          <w:sz w:val="28"/>
          <w:szCs w:val="28"/>
        </w:rPr>
        <w:t xml:space="preserve">лей;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2)на</w:t>
      </w:r>
      <w:r>
        <w:rPr>
          <w:rFonts w:ascii="Times New Roman" w:hAnsi="Times New Roman" w:cs="Times New Roman"/>
          <w:sz w:val="28"/>
          <w:szCs w:val="28"/>
        </w:rPr>
        <w:t xml:space="preserve"> 2026 год в сумме 614 300 200 рублей;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3)на</w:t>
      </w:r>
      <w:r>
        <w:rPr>
          <w:rFonts w:ascii="Times New Roman" w:hAnsi="Times New Roman" w:cs="Times New Roman"/>
          <w:sz w:val="28"/>
          <w:szCs w:val="28"/>
        </w:rPr>
        <w:t xml:space="preserve"> 2027 год в сумме 501 125 151 рубль.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Установить, что в соответствии с под</w:t>
      </w:r>
      <w:hyperlink r:id="rId11" w:tooltip="consultantplus://offline/ref=16052D54272BCDE38E95F2676CA6BB086E21ABD80E96DE618385A82DB67D15FCDDAE201BDB5EF650425EB899C1EA980EEB1B7D078E7C38D5MCGCH" w:history="1">
        <w:r>
          <w:rPr>
            <w:rFonts w:ascii="Times New Roman" w:hAnsi="Times New Roman" w:cs="Times New Roman"/>
            <w:sz w:val="28"/>
            <w:szCs w:val="28"/>
          </w:rPr>
          <w:t xml:space="preserve">пунктом 9 пункта 2.2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 формирования и использования бюджетных ас</w:t>
      </w:r>
      <w:r>
        <w:rPr>
          <w:rFonts w:ascii="Times New Roman" w:hAnsi="Times New Roman" w:cs="Times New Roman"/>
          <w:sz w:val="28"/>
          <w:szCs w:val="28"/>
        </w:rPr>
        <w:t xml:space="preserve">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</w:t>
      </w:r>
      <w:r>
        <w:rPr>
          <w:rFonts w:ascii="Times New Roman" w:hAnsi="Times New Roman" w:cs="Times New Roman"/>
          <w:sz w:val="28"/>
          <w:szCs w:val="28"/>
        </w:rPr>
        <w:t xml:space="preserve">ды бюджета: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2025 году в сумме 533 522 575 рублей;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2026 году в сумме 433 590 110 рублей;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2027 году в сумме 323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475 881 рубль.».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1.8.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одпункт 12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ункт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15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изложить 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следующей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редакции: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12)на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возмещение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АО 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Югансктранстеплосервис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», АО 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Юганскводоканал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», осуществляющим регулируемый вид деятельности в сфере  тепло-, водоснабжения и водоотведения, недополученных доходов в связи с применением понижающих коэффициентов к но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рмативам  потребления коммунальных услуг и нормативам расхода тепловой энергии, используемой на подогрев холодной воды, для предоставления коммунальной 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слуги по горячему водоснабжению;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1.9.Дополнить пункт 15 подпунктом 14 следующего содержания: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14)на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ф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инансовое обеспечение затрат АО 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Югансктранстеплосервис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»,      АО 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Юганскводоканал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ием задолженности за потребленные топливно-энергетические ресурсы.».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1.10. Дополнить пункт 25 подпунктом 25.2. следующего содержания: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5"/>
        <w:ind w:firstLine="709"/>
        <w:jc w:val="both"/>
        <w:spacing w:before="0" w:beforeAutospacing="0" w:after="0" w:afterAutospacing="0"/>
        <w:rPr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«Установить, что в 2025 году при казначейском сопровождении средств, предоставляемых на основании контрактов (договоров), </w:t>
      </w:r>
      <w:r>
        <w:rPr>
          <w:color w:val="000000"/>
          <w:sz w:val="28"/>
          <w:szCs w:val="28"/>
          <w:highlight w:val="white"/>
        </w:rPr>
        <w:t xml:space="preserve">определенных пунктом 25.1 настоящего решения, перечисление средств по таким контрактам (договорам) осуществляется в установленном </w:t>
      </w:r>
      <w:r>
        <w:rPr>
          <w:sz w:val="28"/>
          <w:szCs w:val="28"/>
          <w:highlight w:val="white"/>
        </w:rPr>
        <w:t xml:space="preserve">Правительством Российской Федерации порядке с лицевых счетов уч</w:t>
      </w:r>
      <w:r>
        <w:rPr>
          <w:color w:val="000000"/>
          <w:sz w:val="28"/>
          <w:szCs w:val="28"/>
          <w:highlight w:val="white"/>
        </w:rPr>
        <w:t xml:space="preserve">астника казначейского сопровождения, открытых заказчикам по так</w:t>
      </w:r>
      <w:r>
        <w:rPr>
          <w:color w:val="000000"/>
          <w:sz w:val="28"/>
          <w:szCs w:val="28"/>
          <w:highlight w:val="white"/>
        </w:rPr>
        <w:t xml:space="preserve">им контрактам (договорам</w:t>
      </w:r>
      <w:r>
        <w:rPr>
          <w:color w:val="000000"/>
          <w:sz w:val="28"/>
          <w:szCs w:val="28"/>
          <w:highlight w:val="white"/>
        </w:rPr>
        <w:t xml:space="preserve">) в департаменте финансов, на расчетные счета, открытые поставщикам (подрядчикам, исполнителям) в кредитных организациях:</w:t>
      </w:r>
      <w:r>
        <w:rPr>
          <w:highlight w:val="white"/>
        </w:rPr>
      </w:r>
      <w:r>
        <w:rPr>
          <w:highlight w:val="white"/>
        </w:rPr>
      </w:r>
    </w:p>
    <w:p>
      <w:pPr>
        <w:pStyle w:val="886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в целях приобретения товаров – при предоставлении заказчиками по таким контрактам (договорам) документов, подт</w:t>
      </w:r>
      <w:r>
        <w:rPr>
          <w:color w:val="000000"/>
          <w:sz w:val="28"/>
          <w:szCs w:val="28"/>
          <w:highlight w:val="white"/>
        </w:rPr>
        <w:t xml:space="preserve">верждающих поставку товаров;</w:t>
      </w: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</w:p>
    <w:p>
      <w:pPr>
        <w:pStyle w:val="886"/>
        <w:ind w:firstLine="709"/>
        <w:jc w:val="both"/>
        <w:spacing w:before="0" w:beforeAutospacing="0" w:after="0" w:afterAutospacing="0"/>
        <w:rPr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авансовых платежей </w:t>
      </w:r>
      <w:r>
        <w:rPr>
          <w:sz w:val="28"/>
          <w:szCs w:val="28"/>
          <w:highlight w:val="white"/>
        </w:rPr>
        <w:t xml:space="preserve">по контрактам (договорам), заключаемым в целях приобретения строительных материалов и оборудования, затраты на приобретение которых включены в проектную документацию на строительство (реконструкцию, в том чис</w:t>
      </w:r>
      <w:r>
        <w:rPr>
          <w:sz w:val="28"/>
          <w:szCs w:val="28"/>
          <w:highlight w:val="white"/>
        </w:rPr>
        <w:t xml:space="preserve">ле с элементами реставрации, техническое перевооружение), капитальный ремонт объектов капитального строительства, - на основании перечня строительных материалов и оборудования, включенных в проектную документацию на стр</w:t>
      </w:r>
      <w:bookmarkStart w:id="0" w:name="_GoBack"/>
      <w:r>
        <w:rPr>
          <w:highlight w:val="white"/>
        </w:rPr>
      </w:r>
      <w:bookmarkEnd w:id="0"/>
      <w:r>
        <w:rPr>
          <w:sz w:val="28"/>
          <w:szCs w:val="28"/>
          <w:highlight w:val="white"/>
        </w:rPr>
        <w:t xml:space="preserve">оительство (реконструкцию, в том числ</w:t>
      </w:r>
      <w:r>
        <w:rPr>
          <w:sz w:val="28"/>
          <w:szCs w:val="28"/>
          <w:highlight w:val="white"/>
        </w:rPr>
        <w:t xml:space="preserve">е с элементами реставрации, техническое перевооружение), капитальный ремонт объектов капитального строительства, </w:t>
      </w:r>
      <w:r>
        <w:rPr>
          <w:color w:val="000000"/>
          <w:sz w:val="28"/>
          <w:szCs w:val="28"/>
          <w:highlight w:val="white"/>
        </w:rPr>
        <w:t xml:space="preserve">в порядке и по форме, которые установлены Правительством Российской Федерации;</w:t>
      </w:r>
      <w:r>
        <w:rPr>
          <w:highlight w:val="white"/>
        </w:rPr>
      </w:r>
      <w:r>
        <w:rPr>
          <w:highlight w:val="white"/>
        </w:rPr>
      </w:r>
    </w:p>
    <w:p>
      <w:pPr>
        <w:pStyle w:val="886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в целях выполнения работ, оказания услуг, предметом которых явля</w:t>
      </w:r>
      <w:r>
        <w:rPr>
          <w:color w:val="000000"/>
          <w:sz w:val="28"/>
          <w:szCs w:val="28"/>
          <w:highlight w:val="white"/>
        </w:rPr>
        <w:t xml:space="preserve">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- при представлении документов, подтверждающих выполнение работ, оказание услуг, а также реестра д</w:t>
      </w:r>
      <w:r>
        <w:rPr>
          <w:color w:val="000000"/>
          <w:sz w:val="28"/>
          <w:szCs w:val="28"/>
          <w:highlight w:val="white"/>
        </w:rPr>
        <w:t xml:space="preserve">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</w:t>
      </w:r>
      <w:bookmarkStart w:id="1" w:name="undefined"/>
      <w:r>
        <w:rPr>
          <w:highlight w:val="white"/>
        </w:rPr>
      </w:r>
      <w:bookmarkEnd w:id="1"/>
      <w:r>
        <w:rPr>
          <w:color w:val="000000"/>
          <w:sz w:val="28"/>
          <w:szCs w:val="28"/>
          <w:highlight w:val="white"/>
        </w:rPr>
        <w:t xml:space="preserve">Федерации.».</w:t>
      </w: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1.11.</w:t>
      </w:r>
      <w:r>
        <w:rPr>
          <w:rFonts w:ascii="Times New Roman" w:hAnsi="Times New Roman" w:cs="Times New Roman"/>
          <w:sz w:val="28"/>
          <w:szCs w:val="28"/>
        </w:rPr>
        <w:t xml:space="preserve">Приложение 1 «Распределение доходов бюджета города Нефтеюганска на 2025 год по показателям классификации доходов» изложить в новой редакции согласно приложению 1 к настоящему решению.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1.12.Приложение 2 «Распределение доходов бюджета города Нефтеюганска на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2026 и 2027 годы по показателям классификации доходов» изложить в новой редакции согласно приложению 2 к настоящему решению.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.Приложение 3 «Источники финансирования дефицита бюджета города Нефтеюганска на 2025 год» изложить в новой редакции согласно приложению 3 к настоящему решению.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1.14.Приложение 4 «Источники финансирования дефицита бюджета города Нефтеюганска на 2026 и 2027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годы» изложить в новой редакции согласно приложению 4 к настоящему решению.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1.15.Приложение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дов расходов классификации расходов бюджета города Нефтеюганск на 2025 год» изложить в новой редакции согласно приложению 5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1.16.Приложение 6 «Распределение бюджетных ассигнований по целевым статьям (муниципальным программам и непрогр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2026 и 2027 годы» изложить в новой редакции согласно приложению 6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1.17.Приложение 7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«Распределение бюджетных ассигнований по разделам, подразделам классификации расходов бюджета города Нефтеюганск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 2025 год» изложить в новой редакции согласно приложению 7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1.18.Приложение 8 «Распределение бюджетных ассигнований по 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азделам, подразделам классификации расходов бюджета города Нефтеюганск на плановый период 2026 и 2027 годов» изложить в новой редакции согласно приложению 8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1.19.Приложение 9 «Распределение бюджетных ассигнований по разделам, подразде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2025 год» изложить в новой редакции согласно приложению 9 к насто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1.20.Приложение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жета города Нефтеюганска на плановый период   2026 и 2027 годов» изложить в новой редакции согласно приложению 10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1.21.Приложение 11 «Ведомственная структура расходов бюджета города Нефтеюганск на 2025 год» изложить в новой редакции 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огласно приложению 11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1.22.Приложение 12 «Ведомственная структура расходов бюджета города Нефтеюганск на плановый период 2026 и 2027 годов» изложить в новой редакции согласно приложению 12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2.Опубликовать решение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газете «Здравствуйте,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нефтеюганцы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!» </w:t>
      </w:r>
      <w:r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органов местного самоуправления города Нефтеюганска.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3.Решение вступает в силу после его официального опубликования.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Глава города Нефтеюганска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Председатель Думы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города Не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фтеюганска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Ю.В.Чекунов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___________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М.М.Миннигулов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«___» ________ 2025 года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№ 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45381594"/>
      <w:docPartObj>
        <w:docPartGallery w:val="Page Numbers (Top of Page)"/>
        <w:docPartUnique w:val="true"/>
      </w:docPartObj>
      <w:rPr/>
    </w:sdtPr>
    <w:sdtContent>
      <w:p>
        <w:pPr>
          <w:pStyle w:val="87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  <w:p>
    <w:pPr>
      <w:pStyle w:val="87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 w:default="1">
    <w:name w:val="Normal"/>
    <w:qFormat/>
  </w:style>
  <w:style w:type="paragraph" w:styleId="679">
    <w:name w:val="Heading 1"/>
    <w:basedOn w:val="678"/>
    <w:next w:val="678"/>
    <w:link w:val="70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80">
    <w:name w:val="Heading 2"/>
    <w:basedOn w:val="678"/>
    <w:next w:val="678"/>
    <w:link w:val="70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81">
    <w:name w:val="Heading 3"/>
    <w:basedOn w:val="678"/>
    <w:next w:val="678"/>
    <w:link w:val="70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82">
    <w:name w:val="Heading 4"/>
    <w:basedOn w:val="678"/>
    <w:next w:val="678"/>
    <w:link w:val="71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3">
    <w:name w:val="Heading 5"/>
    <w:basedOn w:val="678"/>
    <w:next w:val="678"/>
    <w:link w:val="71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678"/>
    <w:next w:val="678"/>
    <w:link w:val="71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5">
    <w:name w:val="Heading 7"/>
    <w:basedOn w:val="678"/>
    <w:next w:val="678"/>
    <w:link w:val="71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6">
    <w:name w:val="Heading 8"/>
    <w:basedOn w:val="678"/>
    <w:next w:val="678"/>
    <w:link w:val="71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7">
    <w:name w:val="Heading 9"/>
    <w:basedOn w:val="678"/>
    <w:next w:val="678"/>
    <w:link w:val="71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 w:default="1">
    <w:name w:val="Default Paragraph Font"/>
    <w:uiPriority w:val="1"/>
    <w:semiHidden/>
    <w:unhideWhenUsed/>
  </w:style>
  <w:style w:type="table" w:styleId="6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0" w:default="1">
    <w:name w:val="No List"/>
    <w:uiPriority w:val="99"/>
    <w:semiHidden/>
    <w:unhideWhenUsed/>
  </w:style>
  <w:style w:type="character" w:styleId="691" w:customStyle="1">
    <w:name w:val="Heading 1 Char"/>
    <w:basedOn w:val="688"/>
    <w:uiPriority w:val="9"/>
    <w:rPr>
      <w:rFonts w:ascii="Arial" w:hAnsi="Arial" w:eastAsia="Arial" w:cs="Arial"/>
      <w:sz w:val="40"/>
      <w:szCs w:val="40"/>
    </w:rPr>
  </w:style>
  <w:style w:type="character" w:styleId="692" w:customStyle="1">
    <w:name w:val="Heading 2 Char"/>
    <w:basedOn w:val="688"/>
    <w:uiPriority w:val="9"/>
    <w:rPr>
      <w:rFonts w:ascii="Arial" w:hAnsi="Arial" w:eastAsia="Arial" w:cs="Arial"/>
      <w:sz w:val="34"/>
    </w:rPr>
  </w:style>
  <w:style w:type="character" w:styleId="693" w:customStyle="1">
    <w:name w:val="Heading 3 Char"/>
    <w:basedOn w:val="688"/>
    <w:uiPriority w:val="9"/>
    <w:rPr>
      <w:rFonts w:ascii="Arial" w:hAnsi="Arial" w:eastAsia="Arial" w:cs="Arial"/>
      <w:sz w:val="30"/>
      <w:szCs w:val="30"/>
    </w:rPr>
  </w:style>
  <w:style w:type="character" w:styleId="694" w:customStyle="1">
    <w:name w:val="Heading 4 Char"/>
    <w:basedOn w:val="688"/>
    <w:uiPriority w:val="9"/>
    <w:rPr>
      <w:rFonts w:ascii="Arial" w:hAnsi="Arial" w:eastAsia="Arial" w:cs="Arial"/>
      <w:b/>
      <w:bCs/>
      <w:sz w:val="26"/>
      <w:szCs w:val="26"/>
    </w:rPr>
  </w:style>
  <w:style w:type="character" w:styleId="695" w:customStyle="1">
    <w:name w:val="Heading 5 Char"/>
    <w:basedOn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696" w:customStyle="1">
    <w:name w:val="Heading 6 Char"/>
    <w:basedOn w:val="688"/>
    <w:uiPriority w:val="9"/>
    <w:rPr>
      <w:rFonts w:ascii="Arial" w:hAnsi="Arial" w:eastAsia="Arial" w:cs="Arial"/>
      <w:b/>
      <w:bCs/>
      <w:sz w:val="22"/>
      <w:szCs w:val="22"/>
    </w:rPr>
  </w:style>
  <w:style w:type="character" w:styleId="697" w:customStyle="1">
    <w:name w:val="Heading 7 Char"/>
    <w:basedOn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8" w:customStyle="1">
    <w:name w:val="Heading 8 Char"/>
    <w:basedOn w:val="688"/>
    <w:uiPriority w:val="9"/>
    <w:rPr>
      <w:rFonts w:ascii="Arial" w:hAnsi="Arial" w:eastAsia="Arial" w:cs="Arial"/>
      <w:i/>
      <w:iCs/>
      <w:sz w:val="22"/>
      <w:szCs w:val="22"/>
    </w:rPr>
  </w:style>
  <w:style w:type="character" w:styleId="699" w:customStyle="1">
    <w:name w:val="Heading 9 Char"/>
    <w:basedOn w:val="688"/>
    <w:uiPriority w:val="9"/>
    <w:rPr>
      <w:rFonts w:ascii="Arial" w:hAnsi="Arial" w:eastAsia="Arial" w:cs="Arial"/>
      <w:i/>
      <w:iCs/>
      <w:sz w:val="21"/>
      <w:szCs w:val="21"/>
    </w:rPr>
  </w:style>
  <w:style w:type="character" w:styleId="700" w:customStyle="1">
    <w:name w:val="Title Char"/>
    <w:basedOn w:val="688"/>
    <w:uiPriority w:val="10"/>
    <w:rPr>
      <w:sz w:val="48"/>
      <w:szCs w:val="48"/>
    </w:rPr>
  </w:style>
  <w:style w:type="character" w:styleId="701" w:customStyle="1">
    <w:name w:val="Subtitle Char"/>
    <w:basedOn w:val="688"/>
    <w:uiPriority w:val="11"/>
    <w:rPr>
      <w:sz w:val="24"/>
      <w:szCs w:val="24"/>
    </w:rPr>
  </w:style>
  <w:style w:type="character" w:styleId="702" w:customStyle="1">
    <w:name w:val="Quote Char"/>
    <w:uiPriority w:val="29"/>
    <w:rPr>
      <w:i/>
    </w:rPr>
  </w:style>
  <w:style w:type="character" w:styleId="703" w:customStyle="1">
    <w:name w:val="Intense Quote Char"/>
    <w:uiPriority w:val="30"/>
    <w:rPr>
      <w:i/>
    </w:rPr>
  </w:style>
  <w:style w:type="character" w:styleId="704" w:customStyle="1">
    <w:name w:val="Caption Char"/>
    <w:basedOn w:val="688"/>
    <w:uiPriority w:val="35"/>
    <w:rPr>
      <w:b/>
      <w:bCs/>
      <w:color w:val="4f81bd" w:themeColor="accent1"/>
      <w:sz w:val="18"/>
      <w:szCs w:val="18"/>
    </w:rPr>
  </w:style>
  <w:style w:type="character" w:styleId="705" w:customStyle="1">
    <w:name w:val="Footnote Text Char"/>
    <w:uiPriority w:val="99"/>
    <w:rPr>
      <w:sz w:val="18"/>
    </w:rPr>
  </w:style>
  <w:style w:type="character" w:styleId="706" w:customStyle="1">
    <w:name w:val="Endnote Text Char"/>
    <w:uiPriority w:val="99"/>
    <w:rPr>
      <w:sz w:val="20"/>
    </w:rPr>
  </w:style>
  <w:style w:type="character" w:styleId="707" w:customStyle="1">
    <w:name w:val="Заголовок 1 Знак"/>
    <w:basedOn w:val="688"/>
    <w:link w:val="679"/>
    <w:uiPriority w:val="9"/>
    <w:rPr>
      <w:rFonts w:ascii="Arial" w:hAnsi="Arial" w:eastAsia="Arial" w:cs="Arial"/>
      <w:sz w:val="40"/>
      <w:szCs w:val="40"/>
    </w:rPr>
  </w:style>
  <w:style w:type="character" w:styleId="708" w:customStyle="1">
    <w:name w:val="Заголовок 2 Знак"/>
    <w:basedOn w:val="688"/>
    <w:link w:val="680"/>
    <w:uiPriority w:val="9"/>
    <w:rPr>
      <w:rFonts w:ascii="Arial" w:hAnsi="Arial" w:eastAsia="Arial" w:cs="Arial"/>
      <w:sz w:val="34"/>
    </w:rPr>
  </w:style>
  <w:style w:type="character" w:styleId="709" w:customStyle="1">
    <w:name w:val="Заголовок 3 Знак"/>
    <w:basedOn w:val="688"/>
    <w:link w:val="681"/>
    <w:uiPriority w:val="9"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basedOn w:val="688"/>
    <w:link w:val="682"/>
    <w:uiPriority w:val="9"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basedOn w:val="688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basedOn w:val="688"/>
    <w:link w:val="684"/>
    <w:uiPriority w:val="9"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basedOn w:val="688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basedOn w:val="688"/>
    <w:link w:val="686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basedOn w:val="688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after="0" w:line="240" w:lineRule="auto"/>
    </w:pPr>
  </w:style>
  <w:style w:type="paragraph" w:styleId="717">
    <w:name w:val="Title"/>
    <w:basedOn w:val="678"/>
    <w:next w:val="678"/>
    <w:link w:val="718"/>
    <w:uiPriority w:val="10"/>
    <w:qFormat/>
    <w:pPr>
      <w:contextualSpacing/>
      <w:spacing w:before="300"/>
    </w:pPr>
    <w:rPr>
      <w:sz w:val="48"/>
      <w:szCs w:val="48"/>
    </w:rPr>
  </w:style>
  <w:style w:type="character" w:styleId="718" w:customStyle="1">
    <w:name w:val="Название Знак"/>
    <w:basedOn w:val="688"/>
    <w:link w:val="717"/>
    <w:uiPriority w:val="10"/>
    <w:rPr>
      <w:sz w:val="48"/>
      <w:szCs w:val="48"/>
    </w:rPr>
  </w:style>
  <w:style w:type="paragraph" w:styleId="719">
    <w:name w:val="Subtitle"/>
    <w:basedOn w:val="678"/>
    <w:next w:val="678"/>
    <w:link w:val="720"/>
    <w:uiPriority w:val="11"/>
    <w:qFormat/>
    <w:pPr>
      <w:spacing w:before="200"/>
    </w:pPr>
    <w:rPr>
      <w:sz w:val="24"/>
      <w:szCs w:val="24"/>
    </w:rPr>
  </w:style>
  <w:style w:type="character" w:styleId="720" w:customStyle="1">
    <w:name w:val="Подзаголовок Знак"/>
    <w:basedOn w:val="688"/>
    <w:link w:val="719"/>
    <w:uiPriority w:val="11"/>
    <w:rPr>
      <w:sz w:val="24"/>
      <w:szCs w:val="24"/>
    </w:rPr>
  </w:style>
  <w:style w:type="paragraph" w:styleId="721">
    <w:name w:val="Quote"/>
    <w:basedOn w:val="678"/>
    <w:next w:val="678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78"/>
    <w:next w:val="678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character" w:styleId="725" w:customStyle="1">
    <w:name w:val="Header Char"/>
    <w:basedOn w:val="688"/>
    <w:uiPriority w:val="99"/>
  </w:style>
  <w:style w:type="character" w:styleId="726" w:customStyle="1">
    <w:name w:val="Footer Char"/>
    <w:basedOn w:val="688"/>
    <w:uiPriority w:val="99"/>
  </w:style>
  <w:style w:type="paragraph" w:styleId="727">
    <w:name w:val="Caption"/>
    <w:basedOn w:val="678"/>
    <w:next w:val="678"/>
    <w:link w:val="728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8" w:customStyle="1">
    <w:name w:val="Название объекта Знак"/>
    <w:basedOn w:val="688"/>
    <w:link w:val="727"/>
    <w:uiPriority w:val="35"/>
    <w:rPr>
      <w:b/>
      <w:bCs/>
      <w:color w:val="4f81bd" w:themeColor="accent1"/>
      <w:sz w:val="18"/>
      <w:szCs w:val="18"/>
    </w:rPr>
  </w:style>
  <w:style w:type="table" w:styleId="729">
    <w:name w:val="Table Grid"/>
    <w:basedOn w:val="68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0" w:customStyle="1">
    <w:name w:val="Table Grid Light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1">
    <w:name w:val="Plain Table 1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2"/>
    <w:basedOn w:val="68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3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>
    <w:name w:val="Plain Table 4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Plain Table 5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>
    <w:name w:val="Grid Table 1 Light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4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>
    <w:name w:val="Grid Table 5 Dark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>
    <w:name w:val="Grid Table 6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>
    <w:name w:val="Grid Table 7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9" w:customStyle="1">
    <w:name w:val="Grid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0" w:customStyle="1">
    <w:name w:val="Grid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1" w:customStyle="1">
    <w:name w:val="Grid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2" w:customStyle="1">
    <w:name w:val="Grid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3" w:customStyle="1">
    <w:name w:val="Grid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4" w:customStyle="1">
    <w:name w:val="Grid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5">
    <w:name w:val="List Table 1 Light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>
    <w:name w:val="List Table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5 Dark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>
    <w:name w:val="List Table 6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>
    <w:name w:val="List Table 7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List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9" w:customStyle="1">
    <w:name w:val="List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0" w:customStyle="1">
    <w:name w:val="List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1" w:customStyle="1">
    <w:name w:val="List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2" w:customStyle="1">
    <w:name w:val="List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3" w:customStyle="1">
    <w:name w:val="List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Lined - Accent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55">
    <w:name w:val="footnote text"/>
    <w:basedOn w:val="678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 w:customStyle="1">
    <w:name w:val="Текст сноски Знак"/>
    <w:link w:val="855"/>
    <w:uiPriority w:val="99"/>
    <w:rPr>
      <w:sz w:val="18"/>
    </w:rPr>
  </w:style>
  <w:style w:type="character" w:styleId="857">
    <w:name w:val="footnote reference"/>
    <w:basedOn w:val="688"/>
    <w:uiPriority w:val="99"/>
    <w:unhideWhenUsed/>
    <w:rPr>
      <w:vertAlign w:val="superscript"/>
    </w:rPr>
  </w:style>
  <w:style w:type="paragraph" w:styleId="858">
    <w:name w:val="endnote text"/>
    <w:basedOn w:val="678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 w:customStyle="1">
    <w:name w:val="Текст концевой сноски Знак"/>
    <w:link w:val="858"/>
    <w:uiPriority w:val="99"/>
    <w:rPr>
      <w:sz w:val="20"/>
    </w:rPr>
  </w:style>
  <w:style w:type="character" w:styleId="860">
    <w:name w:val="endnote reference"/>
    <w:basedOn w:val="688"/>
    <w:uiPriority w:val="99"/>
    <w:semiHidden/>
    <w:unhideWhenUsed/>
    <w:rPr>
      <w:vertAlign w:val="superscript"/>
    </w:rPr>
  </w:style>
  <w:style w:type="paragraph" w:styleId="861">
    <w:name w:val="toc 1"/>
    <w:basedOn w:val="678"/>
    <w:next w:val="678"/>
    <w:uiPriority w:val="39"/>
    <w:unhideWhenUsed/>
    <w:pPr>
      <w:spacing w:after="57"/>
    </w:pPr>
  </w:style>
  <w:style w:type="paragraph" w:styleId="862">
    <w:name w:val="toc 2"/>
    <w:basedOn w:val="678"/>
    <w:next w:val="678"/>
    <w:uiPriority w:val="39"/>
    <w:unhideWhenUsed/>
    <w:pPr>
      <w:ind w:left="283"/>
      <w:spacing w:after="57"/>
    </w:pPr>
  </w:style>
  <w:style w:type="paragraph" w:styleId="863">
    <w:name w:val="toc 3"/>
    <w:basedOn w:val="678"/>
    <w:next w:val="678"/>
    <w:uiPriority w:val="39"/>
    <w:unhideWhenUsed/>
    <w:pPr>
      <w:ind w:left="567"/>
      <w:spacing w:after="57"/>
    </w:pPr>
  </w:style>
  <w:style w:type="paragraph" w:styleId="864">
    <w:name w:val="toc 4"/>
    <w:basedOn w:val="678"/>
    <w:next w:val="678"/>
    <w:uiPriority w:val="39"/>
    <w:unhideWhenUsed/>
    <w:pPr>
      <w:ind w:left="850"/>
      <w:spacing w:after="57"/>
    </w:pPr>
  </w:style>
  <w:style w:type="paragraph" w:styleId="865">
    <w:name w:val="toc 5"/>
    <w:basedOn w:val="678"/>
    <w:next w:val="678"/>
    <w:uiPriority w:val="39"/>
    <w:unhideWhenUsed/>
    <w:pPr>
      <w:ind w:left="1134"/>
      <w:spacing w:after="57"/>
    </w:pPr>
  </w:style>
  <w:style w:type="paragraph" w:styleId="866">
    <w:name w:val="toc 6"/>
    <w:basedOn w:val="678"/>
    <w:next w:val="678"/>
    <w:uiPriority w:val="39"/>
    <w:unhideWhenUsed/>
    <w:pPr>
      <w:ind w:left="1417"/>
      <w:spacing w:after="57"/>
    </w:pPr>
  </w:style>
  <w:style w:type="paragraph" w:styleId="867">
    <w:name w:val="toc 7"/>
    <w:basedOn w:val="678"/>
    <w:next w:val="678"/>
    <w:uiPriority w:val="39"/>
    <w:unhideWhenUsed/>
    <w:pPr>
      <w:ind w:left="1701"/>
      <w:spacing w:after="57"/>
    </w:pPr>
  </w:style>
  <w:style w:type="paragraph" w:styleId="868">
    <w:name w:val="toc 8"/>
    <w:basedOn w:val="678"/>
    <w:next w:val="678"/>
    <w:uiPriority w:val="39"/>
    <w:unhideWhenUsed/>
    <w:pPr>
      <w:ind w:left="1984"/>
      <w:spacing w:after="57"/>
    </w:pPr>
  </w:style>
  <w:style w:type="paragraph" w:styleId="869">
    <w:name w:val="toc 9"/>
    <w:basedOn w:val="678"/>
    <w:next w:val="678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678"/>
    <w:next w:val="678"/>
    <w:uiPriority w:val="99"/>
    <w:unhideWhenUsed/>
    <w:pPr>
      <w:spacing w:after="0"/>
    </w:pPr>
  </w:style>
  <w:style w:type="paragraph" w:styleId="872" w:customStyle="1">
    <w:name w:val="Всегда"/>
    <w:basedOn w:val="678"/>
    <w:uiPriority w:val="99"/>
    <w:pPr>
      <w:ind w:firstLine="709"/>
      <w:jc w:val="both"/>
      <w:spacing w:after="0" w:line="240" w:lineRule="auto"/>
      <w:tabs>
        <w:tab w:val="left" w:pos="1701" w:leader="none"/>
      </w:tabs>
    </w:pPr>
    <w:rPr>
      <w:rFonts w:ascii="Times New Roman" w:hAnsi="Times New Roman" w:eastAsia="Times New Roman" w:cs="Times New Roman"/>
      <w:color w:val="ff0000"/>
      <w:sz w:val="28"/>
      <w:szCs w:val="28"/>
    </w:rPr>
  </w:style>
  <w:style w:type="paragraph" w:styleId="873">
    <w:name w:val="Header"/>
    <w:basedOn w:val="678"/>
    <w:link w:val="8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4" w:customStyle="1">
    <w:name w:val="Верхний колонтитул Знак"/>
    <w:basedOn w:val="688"/>
    <w:link w:val="873"/>
    <w:uiPriority w:val="99"/>
  </w:style>
  <w:style w:type="paragraph" w:styleId="875">
    <w:name w:val="Footer"/>
    <w:basedOn w:val="678"/>
    <w:link w:val="87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6" w:customStyle="1">
    <w:name w:val="Нижний колонтитул Знак"/>
    <w:basedOn w:val="688"/>
    <w:link w:val="875"/>
    <w:uiPriority w:val="99"/>
  </w:style>
  <w:style w:type="paragraph" w:styleId="877" w:customStyle="1">
    <w:name w:val="Body Text 21"/>
    <w:basedOn w:val="678"/>
    <w:uiPriority w:val="99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78">
    <w:name w:val="List Paragraph"/>
    <w:basedOn w:val="678"/>
    <w:uiPriority w:val="34"/>
    <w:qFormat/>
    <w:pPr>
      <w:contextualSpacing/>
      <w:ind w:left="720"/>
    </w:pPr>
  </w:style>
  <w:style w:type="paragraph" w:styleId="879">
    <w:name w:val="Balloon Text"/>
    <w:basedOn w:val="678"/>
    <w:link w:val="88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0" w:customStyle="1">
    <w:name w:val="Текст выноски Знак"/>
    <w:basedOn w:val="688"/>
    <w:link w:val="879"/>
    <w:uiPriority w:val="99"/>
    <w:semiHidden/>
    <w:rPr>
      <w:rFonts w:ascii="Tahoma" w:hAnsi="Tahoma" w:cs="Tahoma"/>
      <w:sz w:val="16"/>
      <w:szCs w:val="16"/>
    </w:rPr>
  </w:style>
  <w:style w:type="character" w:styleId="881">
    <w:name w:val="Hyperlink"/>
    <w:basedOn w:val="688"/>
    <w:uiPriority w:val="99"/>
    <w:semiHidden/>
    <w:unhideWhenUsed/>
    <w:rPr>
      <w:color w:val="0000ff" w:themeColor="hyperlink"/>
      <w:u w:val="single"/>
    </w:rPr>
  </w:style>
  <w:style w:type="paragraph" w:styleId="882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83" w:customStyle="1">
    <w:name w:val="Основной текст 21"/>
    <w:basedOn w:val="678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84" w:customStyle="1">
    <w:name w:val="Основной текст 22"/>
    <w:basedOn w:val="678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85" w:customStyle="1">
    <w:name w:val="docdata"/>
    <w:basedOn w:val="678"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6" w:customStyle="1">
    <w:name w:val="Обычный (веб)1"/>
    <w:basedOn w:val="678"/>
    <w:uiPriority w:val="99"/>
    <w:unhideWhenUsed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Relationship Id="rId11" Type="http://schemas.openxmlformats.org/officeDocument/2006/relationships/hyperlink" Target="consultantplus://offline/ref=16052D54272BCDE38E95F2676CA6BB086E21ABD80E96DE618385A82DB67D15FCDDAE201BDB5EF650425EB899C1EA980EEB1B7D078E7C38D5MCGC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DCA50-7E0F-4B3D-B393-084AC1014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TrusovaVA</cp:lastModifiedBy>
  <cp:revision>565</cp:revision>
  <dcterms:created xsi:type="dcterms:W3CDTF">2019-01-30T05:23:00Z</dcterms:created>
  <dcterms:modified xsi:type="dcterms:W3CDTF">2025-09-02T09:04:14Z</dcterms:modified>
</cp:coreProperties>
</file>